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134"/>
          <w:tab w:val="left" w:leader="none" w:pos="-568"/>
          <w:tab w:val="left" w:leader="none" w:pos="-1"/>
          <w:tab w:val="left" w:leader="none" w:pos="564"/>
          <w:tab w:val="left" w:leader="none" w:pos="1130"/>
          <w:tab w:val="left" w:leader="none" w:pos="1696"/>
          <w:tab w:val="left" w:leader="none" w:pos="2262"/>
          <w:tab w:val="left" w:leader="none" w:pos="2828"/>
          <w:tab w:val="left" w:leader="none" w:pos="3394"/>
          <w:tab w:val="left" w:leader="none" w:pos="3960"/>
          <w:tab w:val="left" w:leader="none" w:pos="4526"/>
          <w:tab w:val="left" w:leader="none" w:pos="5092"/>
          <w:tab w:val="left" w:leader="none" w:pos="5658"/>
          <w:tab w:val="left" w:leader="none" w:pos="6224"/>
          <w:tab w:val="left" w:leader="none" w:pos="6790"/>
          <w:tab w:val="left" w:leader="none" w:pos="7356"/>
          <w:tab w:val="left" w:leader="none" w:pos="7922"/>
          <w:tab w:val="left" w:leader="none" w:pos="8488"/>
          <w:tab w:val="left" w:leader="none" w:pos="9054"/>
          <w:tab w:val="left" w:leader="none" w:pos="9620"/>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PROGETTO EUROPEO FUSILLI (</w:t>
      </w:r>
      <w:r w:rsidDel="00000000" w:rsidR="00000000" w:rsidRPr="00000000">
        <w:rPr>
          <w:rFonts w:ascii="Times New Roman" w:cs="Times New Roman" w:eastAsia="Times New Roman" w:hAnsi="Times New Roman"/>
          <w:b w:val="1"/>
          <w:rtl w:val="0"/>
        </w:rPr>
        <w:t xml:space="preserve">CUP C12I20000120006) E SME4GREEN (CUP </w:t>
      </w:r>
      <w:r w:rsidDel="00000000" w:rsidR="00000000" w:rsidRPr="00000000">
        <w:rPr>
          <w:rFonts w:ascii="Times New Roman" w:cs="Times New Roman" w:eastAsia="Times New Roman" w:hAnsi="Times New Roman"/>
          <w:b w:val="1"/>
          <w:highlight w:val="white"/>
          <w:rtl w:val="0"/>
        </w:rPr>
        <w:t xml:space="preserve">C17F21000010006</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rtl w:val="0"/>
        </w:rPr>
        <w:t xml:space="preserve">. AVVISO PUBBLICO “LIVING LAB CIBO CIRCOLARE” -  ASSEGNAZIONE DI CONTRIBUTI A PROGETTI  </w:t>
      </w:r>
      <w:hyperlink r:id="rId8">
        <w:r w:rsidDel="00000000" w:rsidR="00000000" w:rsidRPr="00000000">
          <w:rPr>
            <w:rFonts w:ascii="Times New Roman" w:cs="Times New Roman" w:eastAsia="Times New Roman" w:hAnsi="Times New Roman"/>
            <w:b w:val="1"/>
            <w:rtl w:val="0"/>
          </w:rPr>
          <w:t xml:space="preserve">DI</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SPERIMENTAZIONE DI SOLUZIONI INNOVATIVE DI ECONOMIA CIRCOLARE PER IL  CIBO</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02">
      <w:pPr>
        <w:spacing w:line="360" w:lineRule="auto"/>
        <w:ind w:hanging="2"/>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ind w:hanging="2"/>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keepNext w:val="1"/>
        <w:pBdr>
          <w:top w:space="0" w:sz="0" w:val="nil"/>
          <w:left w:space="0" w:sz="0" w:val="nil"/>
          <w:bottom w:space="0" w:sz="0" w:val="nil"/>
          <w:right w:space="0" w:sz="0" w:val="nil"/>
          <w:between w:space="0" w:sz="0" w:val="nil"/>
        </w:pBdr>
        <w:ind w:hanging="2"/>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ALLEGATO </w:t>
      </w: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b w:val="1"/>
          <w:color w:val="000000"/>
          <w:rtl w:val="0"/>
        </w:rPr>
        <w:t xml:space="preserve"> - DICHIARAZIONE AIUTI “DE MINIMIS”</w:t>
      </w:r>
    </w:p>
    <w:p w:rsidR="00000000" w:rsidDel="00000000" w:rsidP="00000000" w:rsidRDefault="00000000" w:rsidRPr="00000000" w14:paraId="00000005">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(sostitutiva dell’atto di notorietà </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color w:val="000000"/>
          <w:rtl w:val="0"/>
        </w:rPr>
        <w:t xml:space="preserve"> art. 46 e 47 D.P.R. 28/12/2000 n. 445)</w:t>
      </w:r>
      <w:r w:rsidDel="00000000" w:rsidR="00000000" w:rsidRPr="00000000">
        <w:rPr>
          <w:rtl w:val="0"/>
        </w:rPr>
      </w:r>
    </w:p>
    <w:p w:rsidR="00000000" w:rsidDel="00000000" w:rsidP="00000000" w:rsidRDefault="00000000" w:rsidRPr="00000000" w14:paraId="00000006">
      <w:pPr>
        <w:keepNext w:val="1"/>
        <w:pBdr>
          <w:top w:space="0" w:sz="0" w:val="nil"/>
          <w:left w:space="0" w:sz="0" w:val="nil"/>
          <w:bottom w:space="0" w:sz="0" w:val="nil"/>
          <w:right w:space="0" w:sz="0" w:val="nil"/>
          <w:between w:space="0" w:sz="0" w:val="nil"/>
        </w:pBdr>
        <w:ind w:hanging="2"/>
        <w:rPr>
          <w:rFonts w:ascii="Times New Roman" w:cs="Times New Roman" w:eastAsia="Times New Roman" w:hAnsi="Times New Roman"/>
          <w:b w:val="1"/>
          <w:color w:val="000000"/>
          <w:u w:val="singl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u w:val="singl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Il/La sottoscritto/a __________________________________, nato/a a ________________________ il ______________, residente in ______________________________________, in qualità di legale rappresentante della società /organizzazione__________________________________________ con sede legale in _______________________________________________, in attuazione del Decreto MIBACT 11 maggio 2016 che rientra negli aiuti soggetti alla regola del “de minimis” di cui al Regolamento (UE) n. 1407/2013 del 18 dicembre 2013 pubblicato nella GUUE L 352 del 24/12/2013 e successive modificazioni e integrazioni</w:t>
      </w:r>
    </w:p>
    <w:p w:rsidR="00000000" w:rsidDel="00000000" w:rsidP="00000000" w:rsidRDefault="00000000" w:rsidRPr="00000000" w14:paraId="00000009">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Preso atto</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ind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che la Commissione Europea con il proprio Regolamento (UE) n. 1407/2013 del 18 dicembre 2013</w:t>
      </w:r>
      <w:r w:rsidDel="00000000" w:rsidR="00000000" w:rsidRPr="00000000">
        <w:rPr>
          <w:rFonts w:ascii="Times New Roman" w:cs="Times New Roman" w:eastAsia="Times New Roman" w:hAnsi="Times New Roman"/>
          <w:color w:val="000000"/>
          <w:vertAlign w:val="superscript"/>
        </w:rPr>
        <w:footnoteReference w:customMarkFollows="0" w:id="0"/>
      </w:r>
      <w:r w:rsidDel="00000000" w:rsidR="00000000" w:rsidRPr="00000000">
        <w:rPr>
          <w:rFonts w:ascii="Times New Roman" w:cs="Times New Roman" w:eastAsia="Times New Roman" w:hAnsi="Times New Roman"/>
          <w:color w:val="000000"/>
          <w:rtl w:val="0"/>
        </w:rPr>
        <w:t xml:space="preserve"> ha stabilito: </w:t>
      </w:r>
    </w:p>
    <w:p w:rsidR="00000000" w:rsidDel="00000000" w:rsidP="00000000" w:rsidRDefault="00000000" w:rsidRPr="00000000" w14:paraId="0000000D">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rFonts w:ascii="Times New Roman" w:cs="Times New Roman" w:eastAsia="Times New Roman" w:hAnsi="Times New Roman"/>
          <w:color w:val="000000"/>
          <w:rtl w:val="0"/>
        </w:rPr>
        <w:t xml:space="preserve">che l’importo massimo complessivo di aiuti pubblici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che possono essere concessi a un’impresa unica</w:t>
      </w:r>
      <w:r w:rsidDel="00000000" w:rsidR="00000000" w:rsidRPr="00000000">
        <w:rPr>
          <w:rFonts w:ascii="Times New Roman" w:cs="Times New Roman" w:eastAsia="Times New Roman" w:hAnsi="Times New Roman"/>
          <w:color w:val="000000"/>
          <w:vertAlign w:val="superscript"/>
        </w:rPr>
        <w:footnoteReference w:customMarkFollows="0" w:id="1"/>
      </w:r>
      <w:r w:rsidDel="00000000" w:rsidR="00000000" w:rsidRPr="00000000">
        <w:rPr>
          <w:rFonts w:ascii="Times New Roman" w:cs="Times New Roman" w:eastAsia="Times New Roman" w:hAnsi="Times New Roman"/>
          <w:color w:val="000000"/>
          <w:rtl w:val="0"/>
        </w:rPr>
        <w:t xml:space="preserve"> nell’arco di tre esercizi finanziari</w:t>
      </w:r>
      <w:r w:rsidDel="00000000" w:rsidR="00000000" w:rsidRPr="00000000">
        <w:rPr>
          <w:rFonts w:ascii="Times New Roman" w:cs="Times New Roman" w:eastAsia="Times New Roman" w:hAnsi="Times New Roman"/>
          <w:color w:val="000000"/>
          <w:vertAlign w:val="superscript"/>
        </w:rPr>
        <w:footnoteReference w:customMarkFollows="0" w:id="2"/>
      </w:r>
      <w:r w:rsidDel="00000000" w:rsidR="00000000" w:rsidRPr="00000000">
        <w:rPr>
          <w:rFonts w:ascii="Times New Roman" w:cs="Times New Roman" w:eastAsia="Times New Roman" w:hAnsi="Times New Roman"/>
          <w:color w:val="000000"/>
          <w:rtl w:val="0"/>
        </w:rPr>
        <w:t xml:space="preserve"> - senza la preventiva notifica ed autorizzazione da parte della Commissione Europea - è pari a € 200.000,00 (€ 100.000,00 se l’impresa opera nel settore del trasporto di merci su strada per conto terzi</w:t>
      </w:r>
      <w:r w:rsidDel="00000000" w:rsidR="00000000" w:rsidRPr="00000000">
        <w:rPr>
          <w:rFonts w:ascii="Times New Roman" w:cs="Times New Roman" w:eastAsia="Times New Roman" w:hAnsi="Times New Roman"/>
          <w:color w:val="000000"/>
          <w:vertAlign w:val="superscript"/>
        </w:rPr>
        <w:footnoteReference w:customMarkFollows="0" w:id="3"/>
      </w:r>
      <w:r w:rsidDel="00000000" w:rsidR="00000000" w:rsidRPr="00000000">
        <w:rPr>
          <w:rFonts w:ascii="Times New Roman" w:cs="Times New Roman" w:eastAsia="Times New Roman" w:hAnsi="Times New Roman"/>
          <w:i w:val="1"/>
          <w:color w:val="000000"/>
          <w:rtl w:val="0"/>
        </w:rPr>
        <w:t xml:space="preserve">)</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rFonts w:ascii="Times New Roman" w:cs="Times New Roman" w:eastAsia="Times New Roman" w:hAnsi="Times New Roman"/>
          <w:color w:val="000000"/>
          <w:rtl w:val="0"/>
        </w:rPr>
        <w:t xml:space="preserve">che gli aiuti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sono considerati concessi nel momento in cui all’impresa è accordato il diritto di ricevere gli aiuti, indipendentemente dalla data di erogazione degli aiuti all’impresa; </w:t>
      </w:r>
      <w:r w:rsidDel="00000000" w:rsidR="00000000" w:rsidRPr="00000000">
        <w:rPr>
          <w:rtl w:val="0"/>
        </w:rPr>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rFonts w:ascii="Times New Roman" w:cs="Times New Roman" w:eastAsia="Times New Roman" w:hAnsi="Times New Roman"/>
          <w:color w:val="000000"/>
          <w:rtl w:val="0"/>
        </w:rPr>
        <w:t xml:space="preserve">che gli aiuti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possono essere cumulati (i) con gli aiuti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concessi a norma del Regolamento (UE) n. 360/2012 della Commissione (aiuti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a imprese che forniscono Servizi di Interesse Economico Generale) nel rispetto del massimale previsto in tale Regolamento e (ii) con gli aiuti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concessi a norma di altri regolamenti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purché non superino il massimale di € 200.000,00 (€ 100.000,00 se l’impresa opera nel settore del trasporto di merci su strada per conto terzi); </w:t>
      </w:r>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rFonts w:ascii="Times New Roman" w:cs="Times New Roman" w:eastAsia="Times New Roman" w:hAnsi="Times New Roman"/>
          <w:color w:val="000000"/>
          <w:rtl w:val="0"/>
        </w:rPr>
        <w:t xml:space="preserve">che gli aiuti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non sono cumulabili con aiuti di Stato concessi per gli stessi costi ammissibili o con aiuti di Stato relativi alla stessa misura di finanziamento del rischio se tale cumulo comporta il superamento dell’intensità di aiuto o dell’importo di aiuto più elevati fissati, per le specifiche circostanze di ogni caso, in un regolamento d’esenzione per categoria o in una decisione della Commissione; gli aiuti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non concessi per specifici costi ammissibili possono invece essere cumulati con altri aiuti di Stato concessi sulla base di un regolamento di esenzione per categoria o di una decisione della Commissione; </w:t>
      </w: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rFonts w:ascii="Times New Roman" w:cs="Times New Roman" w:eastAsia="Times New Roman" w:hAnsi="Times New Roman"/>
          <w:color w:val="000000"/>
          <w:rtl w:val="0"/>
        </w:rPr>
        <w:t xml:space="preserve">che ai fini della determinazione dell’ammontare massimo di € 200.000,00 (€ 100.000,00 se l’impresa opera nel settore del trasporto di merci su strada per conto terzi) devono essere presi in considerazione tutti gli aiuti pubblici, concessi da autorità nazionali, regionali o locali, a prescindere dalla forma dell’aiuto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o dall’obiettivo perseguito e a prescindere dal fatto che l’aiuto concesso sia finanziato interamente o parzialmente con risorse provenienti dall’Unione;  </w:t>
      </w:r>
      <w:r w:rsidDel="00000000" w:rsidR="00000000" w:rsidRPr="00000000">
        <w:rPr>
          <w:rtl w:val="0"/>
        </w:rPr>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rFonts w:ascii="Times New Roman" w:cs="Times New Roman" w:eastAsia="Times New Roman" w:hAnsi="Times New Roman"/>
          <w:color w:val="000000"/>
          <w:rtl w:val="0"/>
        </w:rPr>
        <w:t xml:space="preserve">che la disciplina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di cui al Reg. 1407/2013 </w:t>
      </w:r>
      <w:r w:rsidDel="00000000" w:rsidR="00000000" w:rsidRPr="00000000">
        <w:rPr>
          <w:rFonts w:ascii="Times New Roman" w:cs="Times New Roman" w:eastAsia="Times New Roman" w:hAnsi="Times New Roman"/>
          <w:color w:val="000000"/>
          <w:u w:val="single"/>
          <w:rtl w:val="0"/>
        </w:rPr>
        <w:t xml:space="preserve">non</w:t>
      </w:r>
      <w:r w:rsidDel="00000000" w:rsidR="00000000" w:rsidRPr="00000000">
        <w:rPr>
          <w:rFonts w:ascii="Times New Roman" w:cs="Times New Roman" w:eastAsia="Times New Roman" w:hAnsi="Times New Roman"/>
          <w:color w:val="000000"/>
          <w:rtl w:val="0"/>
        </w:rPr>
        <w:t xml:space="preserve"> è applicabile: </w:t>
      </w:r>
      <w:r w:rsidDel="00000000" w:rsidR="00000000" w:rsidRPr="00000000">
        <w:rPr>
          <w:rtl w:val="0"/>
        </w:rPr>
      </w:r>
    </w:p>
    <w:p w:rsidR="00000000" w:rsidDel="00000000" w:rsidP="00000000" w:rsidRDefault="00000000" w:rsidRPr="00000000" w14:paraId="00000014">
      <w:pPr>
        <w:numPr>
          <w:ilvl w:val="1"/>
          <w:numId w:val="1"/>
        </w:numPr>
        <w:pBdr>
          <w:top w:space="0" w:sz="0" w:val="nil"/>
          <w:left w:space="0" w:sz="0" w:val="nil"/>
          <w:bottom w:space="0" w:sz="0" w:val="nil"/>
          <w:right w:space="0" w:sz="0" w:val="nil"/>
          <w:between w:space="0" w:sz="0" w:val="nil"/>
        </w:pBdr>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agli aiuti concessi a imprese operanti nel settore della pesca e dell’acquacoltura</w:t>
      </w:r>
      <w:r w:rsidDel="00000000" w:rsidR="00000000" w:rsidRPr="00000000">
        <w:rPr>
          <w:rFonts w:ascii="Times New Roman" w:cs="Times New Roman" w:eastAsia="Times New Roman" w:hAnsi="Times New Roman"/>
          <w:color w:val="000000"/>
          <w:vertAlign w:val="superscript"/>
        </w:rPr>
        <w:footnoteReference w:customMarkFollows="0" w:id="4"/>
      </w:r>
      <w:r w:rsidDel="00000000" w:rsidR="00000000" w:rsidRPr="00000000">
        <w:rPr>
          <w:rFonts w:ascii="Times New Roman" w:cs="Times New Roman" w:eastAsia="Times New Roman" w:hAnsi="Times New Roman"/>
          <w:color w:val="000000"/>
          <w:rtl w:val="0"/>
        </w:rPr>
        <w:t xml:space="preserve"> per i quali esiste una disciplina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ad hoc (Reg. 717/2014); </w:t>
      </w:r>
    </w:p>
    <w:p w:rsidR="00000000" w:rsidDel="00000000" w:rsidP="00000000" w:rsidRDefault="00000000" w:rsidRPr="00000000" w14:paraId="00000015">
      <w:pPr>
        <w:numPr>
          <w:ilvl w:val="1"/>
          <w:numId w:val="1"/>
        </w:numPr>
        <w:pBdr>
          <w:top w:space="0" w:sz="0" w:val="nil"/>
          <w:left w:space="0" w:sz="0" w:val="nil"/>
          <w:bottom w:space="0" w:sz="0" w:val="nil"/>
          <w:right w:space="0" w:sz="0" w:val="nil"/>
          <w:between w:space="0" w:sz="0" w:val="nil"/>
        </w:pBdr>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agli aiuti concessi a imprese operanti nel settore della produzione primaria dei prodotti agricoli</w:t>
      </w:r>
      <w:r w:rsidDel="00000000" w:rsidR="00000000" w:rsidRPr="00000000">
        <w:rPr>
          <w:rFonts w:ascii="Times New Roman" w:cs="Times New Roman" w:eastAsia="Times New Roman" w:hAnsi="Times New Roman"/>
          <w:color w:val="000000"/>
          <w:vertAlign w:val="superscript"/>
        </w:rPr>
        <w:footnoteReference w:customMarkFollows="0" w:id="5"/>
      </w:r>
      <w:r w:rsidDel="00000000" w:rsidR="00000000" w:rsidRPr="00000000">
        <w:rPr>
          <w:rFonts w:ascii="Times New Roman" w:cs="Times New Roman" w:eastAsia="Times New Roman" w:hAnsi="Times New Roman"/>
          <w:color w:val="000000"/>
          <w:rtl w:val="0"/>
        </w:rPr>
        <w:t xml:space="preserve"> per i quali esiste una disciplina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ad hoc (Reg. 1408/2013); </w:t>
      </w:r>
    </w:p>
    <w:p w:rsidR="00000000" w:rsidDel="00000000" w:rsidP="00000000" w:rsidRDefault="00000000" w:rsidRPr="00000000" w14:paraId="00000016">
      <w:pPr>
        <w:numPr>
          <w:ilvl w:val="1"/>
          <w:numId w:val="1"/>
        </w:numPr>
        <w:pBdr>
          <w:top w:space="0" w:sz="0" w:val="nil"/>
          <w:left w:space="0" w:sz="0" w:val="nil"/>
          <w:bottom w:space="0" w:sz="0" w:val="nil"/>
          <w:right w:space="0" w:sz="0" w:val="nil"/>
          <w:between w:space="0" w:sz="0" w:val="nil"/>
        </w:pBdr>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agli aiuti concessi a imprese operanti nel settore della trasformazione e commercializzazione di prodotti agricoli</w:t>
      </w:r>
      <w:r w:rsidDel="00000000" w:rsidR="00000000" w:rsidRPr="00000000">
        <w:rPr>
          <w:rFonts w:ascii="Times New Roman" w:cs="Times New Roman" w:eastAsia="Times New Roman" w:hAnsi="Times New Roman"/>
          <w:color w:val="000000"/>
          <w:vertAlign w:val="superscript"/>
        </w:rPr>
        <w:footnoteReference w:customMarkFollows="0" w:id="6"/>
      </w:r>
      <w:r w:rsidDel="00000000" w:rsidR="00000000" w:rsidRPr="00000000">
        <w:rPr>
          <w:rFonts w:ascii="Times New Roman" w:cs="Times New Roman" w:eastAsia="Times New Roman" w:hAnsi="Times New Roman"/>
          <w:color w:val="000000"/>
          <w:rtl w:val="0"/>
        </w:rPr>
        <w:t xml:space="preserve">, quando l’importo dell’aiuto è fissato in base al prezzo o al quantitativo di tali prodotti acquistati da produttori primari o immessi sul mercato dalle imprese interessate, oppure quando l’aiuto è subordinato al fatto di venire parzialmente o interamente trasferito a produttori primari; </w:t>
      </w:r>
    </w:p>
    <w:p w:rsidR="00000000" w:rsidDel="00000000" w:rsidP="00000000" w:rsidRDefault="00000000" w:rsidRPr="00000000" w14:paraId="00000017">
      <w:pPr>
        <w:numPr>
          <w:ilvl w:val="1"/>
          <w:numId w:val="1"/>
        </w:numPr>
        <w:pBdr>
          <w:top w:space="0" w:sz="0" w:val="nil"/>
          <w:left w:space="0" w:sz="0" w:val="nil"/>
          <w:bottom w:space="0" w:sz="0" w:val="nil"/>
          <w:right w:space="0" w:sz="0" w:val="nil"/>
          <w:between w:space="0" w:sz="0" w:val="nil"/>
        </w:pBdr>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agli aiuti all’esportazione (si intendono tali quelli direttamente legati alle quantità esportate, alla costituzione e al funzionamento di una rete di distribuzione o alle spese correnti connesse all’attività di esportazione; non rientrano normalmente negli aiuti all’esportazione gli aiuti inerenti ai costi di partecipazione a fiere commerciali o quelli per studi o servizi di consulenza, necessari per il lancio di un nuovo prodotto o di un prodotto già esistente su un nuovo mercato); </w:t>
      </w:r>
    </w:p>
    <w:p w:rsidR="00000000" w:rsidDel="00000000" w:rsidP="00000000" w:rsidRDefault="00000000" w:rsidRPr="00000000" w14:paraId="00000018">
      <w:pPr>
        <w:numPr>
          <w:ilvl w:val="1"/>
          <w:numId w:val="1"/>
        </w:numPr>
        <w:pBdr>
          <w:top w:space="0" w:sz="0" w:val="nil"/>
          <w:left w:space="0" w:sz="0" w:val="nil"/>
          <w:bottom w:space="0" w:sz="0" w:val="nil"/>
          <w:right w:space="0" w:sz="0" w:val="nil"/>
          <w:between w:space="0" w:sz="0" w:val="nil"/>
        </w:pBdr>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agli aiuti subordinati all’impiego preferenziale di prodotti interni rispetto ai prodotti d’importazione; </w:t>
      </w:r>
    </w:p>
    <w:p w:rsidR="00000000" w:rsidDel="00000000" w:rsidP="00000000" w:rsidRDefault="00000000" w:rsidRPr="00000000" w14:paraId="00000019">
      <w:pPr>
        <w:numPr>
          <w:ilvl w:val="1"/>
          <w:numId w:val="1"/>
        </w:numPr>
        <w:pBdr>
          <w:top w:space="0" w:sz="0" w:val="nil"/>
          <w:left w:space="0" w:sz="0" w:val="nil"/>
          <w:bottom w:space="0" w:sz="0" w:val="nil"/>
          <w:right w:space="0" w:sz="0" w:val="nil"/>
          <w:between w:space="0" w:sz="0" w:val="nil"/>
        </w:pBdr>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agli aiuti “non trasparenti”</w:t>
      </w:r>
      <w:r w:rsidDel="00000000" w:rsidR="00000000" w:rsidRPr="00000000">
        <w:rPr>
          <w:rFonts w:ascii="Times New Roman" w:cs="Times New Roman" w:eastAsia="Times New Roman" w:hAnsi="Times New Roman"/>
          <w:color w:val="000000"/>
          <w:vertAlign w:val="superscript"/>
        </w:rPr>
        <w:footnoteReference w:customMarkFollows="0" w:id="7"/>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rFonts w:ascii="Times New Roman" w:cs="Times New Roman" w:eastAsia="Times New Roman" w:hAnsi="Times New Roman"/>
          <w:color w:val="000000"/>
          <w:rtl w:val="0"/>
        </w:rPr>
        <w:t xml:space="preserve">che nel caso in cui la concessione di nuovi aiuti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comporti il superamento della soglia di € 200.000,00 (€ 100.000,00 se l’impresa opera nel settore del trasporto di merci su strada per conto terzi), nessuna delle nuove misure di aiuto può beneficiare della disciplina del Reg. </w:t>
      </w:r>
      <w:r w:rsidDel="00000000" w:rsidR="00000000" w:rsidRPr="00000000">
        <w:rPr>
          <w:rFonts w:ascii="Times New Roman" w:cs="Times New Roman" w:eastAsia="Times New Roman" w:hAnsi="Times New Roman"/>
          <w:i w:val="1"/>
          <w:color w:val="000000"/>
          <w:rtl w:val="0"/>
        </w:rPr>
        <w:t xml:space="preserve">de minimis</w:t>
      </w:r>
      <w:r w:rsidDel="00000000" w:rsidR="00000000" w:rsidRPr="00000000">
        <w:rPr>
          <w:rFonts w:ascii="Times New Roman" w:cs="Times New Roman" w:eastAsia="Times New Roman" w:hAnsi="Times New Roman"/>
          <w:color w:val="000000"/>
          <w:rtl w:val="0"/>
        </w:rPr>
        <w:t xml:space="preserve"> 1407/2013;  </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ind w:right="3"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ind w:right="3"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consapevole delle sanzioni penali, nel caso di dichiarazioni non veritiere, di formazione o uso di atti falsi richiamate dall’art. 76 del D.P.R. 445 del 28 dicembre 2000, </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1F">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0">
      <w:pPr>
        <w:keepNext w:val="1"/>
        <w:keepLines w:val="1"/>
        <w:pBdr>
          <w:top w:space="0" w:sz="0" w:val="nil"/>
          <w:left w:space="0" w:sz="0" w:val="nil"/>
          <w:bottom w:space="0" w:sz="0" w:val="nil"/>
          <w:right w:space="0" w:sz="0" w:val="nil"/>
          <w:between w:space="0" w:sz="0" w:val="nil"/>
        </w:pBdr>
        <w:ind w:right="8" w:hanging="2"/>
        <w:jc w:val="cente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DICHIARA</w:t>
      </w:r>
      <w:r w:rsidDel="00000000" w:rsidR="00000000" w:rsidRPr="00000000">
        <w:rPr>
          <w:rFonts w:ascii="Times New Roman" w:cs="Times New Roman" w:eastAsia="Times New Roman" w:hAnsi="Times New Roman"/>
          <w:b w:val="1"/>
          <w:color w:val="000000"/>
          <w:sz w:val="22"/>
          <w:szCs w:val="22"/>
          <w:rtl w:val="0"/>
        </w:rPr>
        <w:t xml:space="preserve"> </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hanging="2"/>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 </w:t>
      </w:r>
    </w:p>
    <w:p w:rsidR="00000000" w:rsidDel="00000000" w:rsidP="00000000" w:rsidRDefault="00000000" w:rsidRPr="00000000" w14:paraId="00000022">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ind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che l’organizzazione congiuntamente con altre organizzazioni ad essa eventualmente collegate nell’ambito del concetto di “impresa unica”, non ha beneficiato, nell’esercizio finanziario in questione nonché nei due esercizi finanziari precedenti, di contributi pubblici, percepiti a titolo di aiuti </w:t>
      </w:r>
      <w:r w:rsidDel="00000000" w:rsidR="00000000" w:rsidRPr="00000000">
        <w:rPr>
          <w:rFonts w:ascii="Times New Roman" w:cs="Times New Roman" w:eastAsia="Times New Roman" w:hAnsi="Times New Roman"/>
          <w:i w:val="1"/>
          <w:color w:val="000000"/>
          <w:sz w:val="22"/>
          <w:szCs w:val="22"/>
          <w:rtl w:val="0"/>
        </w:rPr>
        <w:t xml:space="preserve">de minimis </w:t>
      </w:r>
      <w:r w:rsidDel="00000000" w:rsidR="00000000" w:rsidRPr="00000000">
        <w:rPr>
          <w:rFonts w:ascii="Times New Roman" w:cs="Times New Roman" w:eastAsia="Times New Roman" w:hAnsi="Times New Roman"/>
          <w:color w:val="000000"/>
          <w:sz w:val="22"/>
          <w:szCs w:val="22"/>
          <w:rtl w:val="0"/>
        </w:rPr>
        <w:t xml:space="preserve">ai sensi del Regolamento (UE) n. 1407/2013 e di altri regolamenti </w:t>
      </w:r>
      <w:r w:rsidDel="00000000" w:rsidR="00000000" w:rsidRPr="00000000">
        <w:rPr>
          <w:rFonts w:ascii="Times New Roman" w:cs="Times New Roman" w:eastAsia="Times New Roman" w:hAnsi="Times New Roman"/>
          <w:i w:val="1"/>
          <w:color w:val="000000"/>
          <w:sz w:val="22"/>
          <w:szCs w:val="22"/>
          <w:rtl w:val="0"/>
        </w:rPr>
        <w:t xml:space="preserve">de minimis</w:t>
      </w:r>
      <w:r w:rsidDel="00000000" w:rsidR="00000000" w:rsidRPr="00000000">
        <w:rPr>
          <w:rFonts w:ascii="Times New Roman" w:cs="Times New Roman" w:eastAsia="Times New Roman" w:hAnsi="Times New Roman"/>
          <w:color w:val="000000"/>
          <w:sz w:val="22"/>
          <w:szCs w:val="22"/>
          <w:rtl w:val="0"/>
        </w:rPr>
        <w:t xml:space="preserve">, per un importo superiore a € 200.000,00 (€ 100.000,00 se l’impresa opera nel settore del trasporto di merci su strada per conto terzi), in quanto: </w:t>
      </w:r>
    </w:p>
    <w:p w:rsidR="00000000" w:rsidDel="00000000" w:rsidP="00000000" w:rsidRDefault="00000000" w:rsidRPr="00000000" w14:paraId="00000024">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25">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ind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 - l’impresa non ha percepito aiuti pubblici in </w:t>
      </w:r>
      <w:r w:rsidDel="00000000" w:rsidR="00000000" w:rsidRPr="00000000">
        <w:rPr>
          <w:rFonts w:ascii="Times New Roman" w:cs="Times New Roman" w:eastAsia="Times New Roman" w:hAnsi="Times New Roman"/>
          <w:i w:val="1"/>
          <w:color w:val="000000"/>
          <w:sz w:val="22"/>
          <w:szCs w:val="22"/>
          <w:rtl w:val="0"/>
        </w:rPr>
        <w:t xml:space="preserve">de minimis </w:t>
      </w:r>
      <w:r w:rsidDel="00000000" w:rsidR="00000000" w:rsidRPr="00000000">
        <w:rPr>
          <w:rFonts w:ascii="Times New Roman" w:cs="Times New Roman" w:eastAsia="Times New Roman" w:hAnsi="Times New Roman"/>
          <w:color w:val="000000"/>
          <w:sz w:val="22"/>
          <w:szCs w:val="22"/>
          <w:rtl w:val="0"/>
        </w:rPr>
        <w:t xml:space="preserve">nel corso del periodo sopra indicato </w:t>
      </w:r>
    </w:p>
    <w:p w:rsidR="00000000" w:rsidDel="00000000" w:rsidP="00000000" w:rsidRDefault="00000000" w:rsidRPr="00000000" w14:paraId="00000027">
      <w:pPr>
        <w:pBdr>
          <w:top w:space="0" w:sz="0" w:val="nil"/>
          <w:left w:space="0" w:sz="0" w:val="nil"/>
          <w:bottom w:space="0" w:sz="0" w:val="nil"/>
          <w:right w:space="0" w:sz="0" w:val="nil"/>
          <w:between w:space="0" w:sz="0" w:val="nil"/>
        </w:pBdr>
        <w:ind w:right="4545"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ind w:right="4545" w:hanging="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ind w:right="4545"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oppure </w:t>
      </w:r>
    </w:p>
    <w:p w:rsidR="00000000" w:rsidDel="00000000" w:rsidP="00000000" w:rsidRDefault="00000000" w:rsidRPr="00000000" w14:paraId="0000002A">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2B">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ind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 – nel corso del periodo sopra indicato la suddetta impresa ha beneficiato solo dei seguenti aiuti </w:t>
      </w:r>
      <w:r w:rsidDel="00000000" w:rsidR="00000000" w:rsidRPr="00000000">
        <w:rPr>
          <w:rFonts w:ascii="Times New Roman" w:cs="Times New Roman" w:eastAsia="Times New Roman" w:hAnsi="Times New Roman"/>
          <w:i w:val="1"/>
          <w:color w:val="000000"/>
          <w:sz w:val="22"/>
          <w:szCs w:val="22"/>
          <w:rtl w:val="0"/>
        </w:rPr>
        <w:t xml:space="preserve">de minimis</w:t>
      </w: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Times New Roman" w:cs="Times New Roman" w:eastAsia="Times New Roman" w:hAnsi="Times New Roman"/>
          <w:sz w:val="22"/>
          <w:szCs w:val="22"/>
        </w:rPr>
      </w:pPr>
      <w:r w:rsidDel="00000000" w:rsidR="00000000" w:rsidRPr="00000000">
        <w:rPr>
          <w:rtl w:val="0"/>
        </w:rPr>
      </w:r>
    </w:p>
    <w:tbl>
      <w:tblPr>
        <w:tblStyle w:val="Table1"/>
        <w:tblW w:w="92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5"/>
        <w:gridCol w:w="1443"/>
        <w:gridCol w:w="1708"/>
        <w:gridCol w:w="1870"/>
        <w:gridCol w:w="1465"/>
        <w:gridCol w:w="1549"/>
        <w:tblGridChange w:id="0">
          <w:tblGrid>
            <w:gridCol w:w="1175"/>
            <w:gridCol w:w="1443"/>
            <w:gridCol w:w="1708"/>
            <w:gridCol w:w="1870"/>
            <w:gridCol w:w="1465"/>
            <w:gridCol w:w="1549"/>
          </w:tblGrid>
        </w:tblGridChange>
      </w:tblGrid>
      <w:tr>
        <w:trPr>
          <w:cantSplit w:val="0"/>
          <w:tblHeader w:val="0"/>
        </w:trPr>
        <w:tc>
          <w:tcPr>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Impresa cui è stato concesso il de minimis</w:t>
            </w:r>
            <w:r w:rsidDel="00000000" w:rsidR="00000000" w:rsidRPr="00000000">
              <w:rPr>
                <w:rtl w:val="0"/>
              </w:rPr>
            </w:r>
          </w:p>
        </w:tc>
        <w:tc>
          <w:tcPr>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Esercizio</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Finanziario</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ind w:hanging="2"/>
              <w:jc w:val="both"/>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Organismo</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concedente</w:t>
            </w:r>
            <w:r w:rsidDel="00000000" w:rsidR="00000000" w:rsidRPr="00000000">
              <w:rPr>
                <w:rtl w:val="0"/>
              </w:rPr>
            </w:r>
          </w:p>
        </w:tc>
        <w:tc>
          <w:tcP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Provvedimento di concessione e data</w:t>
            </w:r>
            <w:r w:rsidDel="00000000" w:rsidR="00000000" w:rsidRPr="00000000">
              <w:rPr>
                <w:rtl w:val="0"/>
              </w:rPr>
            </w:r>
          </w:p>
        </w:tc>
        <w:tc>
          <w:tcPr>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Reg. UE de minimis</w:t>
            </w:r>
            <w:r w:rsidDel="00000000" w:rsidR="00000000" w:rsidRPr="00000000">
              <w:rPr>
                <w:rFonts w:ascii="Times New Roman" w:cs="Times New Roman" w:eastAsia="Times New Roman" w:hAnsi="Times New Roman"/>
                <w:b w:val="1"/>
                <w:color w:val="000000"/>
                <w:sz w:val="18"/>
                <w:szCs w:val="18"/>
                <w:vertAlign w:val="superscript"/>
              </w:rPr>
              <w:footnoteReference w:customMarkFollows="0" w:id="8"/>
            </w:r>
            <w:r w:rsidDel="00000000" w:rsidR="00000000" w:rsidRPr="00000000">
              <w:rPr>
                <w:rtl w:val="0"/>
              </w:rPr>
            </w:r>
          </w:p>
        </w:tc>
        <w:tc>
          <w:tcPr>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Importo della sovvenzione e/o equivalente lordo della sovvenzione (ESL)</w:t>
            </w:r>
            <w:r w:rsidDel="00000000" w:rsidR="00000000" w:rsidRPr="00000000">
              <w:rPr>
                <w:rtl w:val="0"/>
              </w:rPr>
            </w:r>
          </w:p>
        </w:tc>
      </w:tr>
      <w:tr>
        <w:trPr>
          <w:cantSplit w:val="0"/>
          <w:tblHeader w:val="0"/>
        </w:trPr>
        <w:tc>
          <w:tcPr/>
          <w:p w:rsidR="00000000" w:rsidDel="00000000" w:rsidP="00000000" w:rsidRDefault="00000000" w:rsidRPr="00000000" w14:paraId="00000037">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3B">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D">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7">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9">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A">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C">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F">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50">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52">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5">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58">
            <w:pPr>
              <w:pBdr>
                <w:top w:space="0" w:sz="0" w:val="nil"/>
                <w:left w:space="0" w:sz="0" w:val="nil"/>
                <w:bottom w:space="0" w:sz="0" w:val="nil"/>
                <w:right w:space="0" w:sz="0" w:val="nil"/>
                <w:between w:space="0" w:sz="0" w:val="nil"/>
              </w:pBdr>
              <w:ind w:hanging="2"/>
              <w:jc w:val="center"/>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tl w:val="0"/>
              </w:rPr>
            </w:r>
          </w:p>
        </w:tc>
      </w:tr>
    </w:tbl>
    <w:p w:rsidR="00000000" w:rsidDel="00000000" w:rsidP="00000000" w:rsidRDefault="00000000" w:rsidRPr="00000000" w14:paraId="0000005B">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Il sottoscritto dichiara altresì:</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 impegnarsi a comunicare tempestivamente alla Città di Torino ulteriori contributi/agevolazioni che saranno eventualmente concessi all'impresa prima dell’eventuale comunicazione di ammissione alle agevolazioni; </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che l’esercizio finanziario, da intendersi quale periodo d’imposta, coincide con il seguente periodo (specificare date di inizio e fine________________________________);</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ind w:left="0" w:hanging="2"/>
        <w:jc w:val="both"/>
        <w:rPr>
          <w:rFonts w:ascii="Times New Roman" w:cs="Times New Roman" w:eastAsia="Times New Roman" w:hAnsi="Times New Roman"/>
          <w:color w:val="000000"/>
          <w:sz w:val="22"/>
          <w:szCs w:val="22"/>
        </w:rPr>
      </w:pPr>
      <w:bookmarkStart w:colFirst="0" w:colLast="0" w:name="_heading=h.1fob9te" w:id="0"/>
      <w:bookmarkEnd w:id="0"/>
      <w:r w:rsidDel="00000000" w:rsidR="00000000" w:rsidRPr="00000000">
        <w:rPr>
          <w:rFonts w:ascii="Times New Roman" w:cs="Times New Roman" w:eastAsia="Times New Roman" w:hAnsi="Times New Roman"/>
          <w:color w:val="000000"/>
          <w:sz w:val="22"/>
          <w:szCs w:val="22"/>
          <w:rtl w:val="0"/>
        </w:rPr>
        <w:t xml:space="preserve">che l’impresa svolge l’attività contraddistinta dal seguente codice ATECO</w:t>
      </w:r>
      <w:r w:rsidDel="00000000" w:rsidR="00000000" w:rsidRPr="00000000">
        <w:rPr>
          <w:rFonts w:ascii="Times New Roman" w:cs="Times New Roman" w:eastAsia="Times New Roman" w:hAnsi="Times New Roman"/>
          <w:color w:val="000000"/>
          <w:sz w:val="22"/>
          <w:szCs w:val="22"/>
          <w:vertAlign w:val="superscript"/>
        </w:rPr>
        <w:footnoteReference w:customMarkFollows="0" w:id="9"/>
      </w:r>
      <w:r w:rsidDel="00000000" w:rsidR="00000000" w:rsidRPr="00000000">
        <w:rPr>
          <w:rFonts w:ascii="Times New Roman" w:cs="Times New Roman" w:eastAsia="Times New Roman" w:hAnsi="Times New Roman"/>
          <w:color w:val="000000"/>
          <w:sz w:val="22"/>
          <w:szCs w:val="22"/>
          <w:vertAlign w:val="superscript"/>
          <w:rtl w:val="0"/>
        </w:rPr>
        <w:t xml:space="preserve"> </w:t>
      </w:r>
      <w:r w:rsidDel="00000000" w:rsidR="00000000" w:rsidRPr="00000000">
        <w:rPr>
          <w:rFonts w:ascii="Times New Roman" w:cs="Times New Roman" w:eastAsia="Times New Roman" w:hAnsi="Times New Roman"/>
          <w:color w:val="000000"/>
          <w:sz w:val="22"/>
          <w:szCs w:val="22"/>
          <w:rtl w:val="0"/>
        </w:rPr>
        <w:t xml:space="preserve"> _________________;</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ind w:left="0"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 non aver richiesto e/o ricevuto, per i medesimi costi ammissibili, ulteriori sovvenzioni pubbliche, o di origine pubblica a qualsiasi titolo accordate (principio del divieto di cumulo).</w:t>
      </w:r>
    </w:p>
    <w:p w:rsidR="00000000" w:rsidDel="00000000" w:rsidP="00000000" w:rsidRDefault="00000000" w:rsidRPr="00000000" w14:paraId="00000061">
      <w:pPr>
        <w:pBdr>
          <w:top w:space="0" w:sz="0" w:val="nil"/>
          <w:left w:space="0" w:sz="0" w:val="nil"/>
          <w:bottom w:space="0" w:sz="0" w:val="nil"/>
          <w:right w:space="0" w:sz="0" w:val="nil"/>
          <w:between w:space="0" w:sz="0" w:val="nil"/>
        </w:pBdr>
        <w:ind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La suddetta organizzazione può pertanto beneficiare, quale aiuto </w:t>
      </w:r>
      <w:r w:rsidDel="00000000" w:rsidR="00000000" w:rsidRPr="00000000">
        <w:rPr>
          <w:rFonts w:ascii="Times New Roman" w:cs="Times New Roman" w:eastAsia="Times New Roman" w:hAnsi="Times New Roman"/>
          <w:i w:val="1"/>
          <w:color w:val="000000"/>
          <w:sz w:val="22"/>
          <w:szCs w:val="22"/>
          <w:rtl w:val="0"/>
        </w:rPr>
        <w:t xml:space="preserve">de minimis</w:t>
      </w:r>
      <w:r w:rsidDel="00000000" w:rsidR="00000000" w:rsidRPr="00000000">
        <w:rPr>
          <w:rFonts w:ascii="Times New Roman" w:cs="Times New Roman" w:eastAsia="Times New Roman" w:hAnsi="Times New Roman"/>
          <w:color w:val="000000"/>
          <w:sz w:val="22"/>
          <w:szCs w:val="22"/>
          <w:rtl w:val="0"/>
        </w:rPr>
        <w:t xml:space="preserve">, del contributo pubblico di euro ___________________ per l’iniziativa sopra evidenziata, senza la necessità che intervenga la preventiva autorizzazione al medesimo contributo da parte della Commissione Europea, il tutto in ossequio a quanto previsto dal menzionato Regolamento (UE) n. 1407/2013.  </w:t>
      </w:r>
    </w:p>
    <w:p w:rsidR="00000000" w:rsidDel="00000000" w:rsidP="00000000" w:rsidRDefault="00000000" w:rsidRPr="00000000" w14:paraId="00000062">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ind w:hanging="2"/>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Dichiara inoltre di essere informato, che i dati richiesti saranno trattat</w:t>
      </w:r>
      <w:r w:rsidDel="00000000" w:rsidR="00000000" w:rsidRPr="00000000">
        <w:rPr>
          <w:rFonts w:ascii="Times New Roman" w:cs="Times New Roman" w:eastAsia="Times New Roman" w:hAnsi="Times New Roman"/>
          <w:sz w:val="22"/>
          <w:szCs w:val="22"/>
          <w:rtl w:val="0"/>
        </w:rPr>
        <w:t xml:space="preserve">i </w:t>
      </w:r>
      <w:r w:rsidDel="00000000" w:rsidR="00000000" w:rsidRPr="00000000">
        <w:rPr>
          <w:rFonts w:ascii="Times New Roman" w:cs="Times New Roman" w:eastAsia="Times New Roman" w:hAnsi="Times New Roman"/>
          <w:color w:val="000000"/>
          <w:sz w:val="22"/>
          <w:szCs w:val="22"/>
          <w:rtl w:val="0"/>
        </w:rPr>
        <w:t xml:space="preserve">ai sensi del </w:t>
      </w:r>
      <w:r w:rsidDel="00000000" w:rsidR="00000000" w:rsidRPr="00000000">
        <w:rPr>
          <w:rFonts w:ascii="Times New Roman" w:cs="Times New Roman" w:eastAsia="Times New Roman" w:hAnsi="Times New Roman"/>
          <w:sz w:val="22"/>
          <w:szCs w:val="22"/>
          <w:rtl w:val="0"/>
        </w:rPr>
        <w:t xml:space="preserve">Regolamento UE/2016/679 e della normativa Italiana di riferimento secondo quanto riportato nell’Allegato 3 “Informativa Privacy”.</w:t>
      </w:r>
    </w:p>
    <w:p w:rsidR="00000000" w:rsidDel="00000000" w:rsidP="00000000" w:rsidRDefault="00000000" w:rsidRPr="00000000" w14:paraId="00000064">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65">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6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data                                                                       firma del Legale Rappresentante </w:t>
      </w:r>
    </w:p>
    <w:p w:rsidR="00000000" w:rsidDel="00000000" w:rsidP="00000000" w:rsidRDefault="00000000" w:rsidRPr="00000000" w14:paraId="00000067">
      <w:pPr>
        <w:pBdr>
          <w:top w:space="0" w:sz="0" w:val="nil"/>
          <w:left w:space="0" w:sz="0" w:val="nil"/>
          <w:bottom w:space="0" w:sz="0" w:val="nil"/>
          <w:right w:space="0" w:sz="0" w:val="nil"/>
          <w:between w:space="0" w:sz="0" w:val="nil"/>
        </w:pBdr>
        <w:ind w:hanging="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________________                                             _______________________________</w:t>
      </w:r>
    </w:p>
    <w:p w:rsidR="00000000" w:rsidDel="00000000" w:rsidP="00000000" w:rsidRDefault="00000000" w:rsidRPr="00000000" w14:paraId="00000068">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6A">
      <w:pPr>
        <w:pBdr>
          <w:top w:space="0" w:sz="0" w:val="nil"/>
          <w:left w:space="0" w:sz="0" w:val="nil"/>
          <w:bottom w:space="0" w:sz="0" w:val="nil"/>
          <w:right w:space="0" w:sz="0" w:val="nil"/>
          <w:between w:space="0" w:sz="0" w:val="nil"/>
        </w:pBdr>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i w:val="1"/>
          <w:color w:val="000000"/>
          <w:sz w:val="22"/>
          <w:szCs w:val="22"/>
          <w:u w:val="single"/>
          <w:rtl w:val="0"/>
        </w:rPr>
        <w:t xml:space="preserve">Avvertenze</w:t>
      </w:r>
      <w:r w:rsidDel="00000000" w:rsidR="00000000" w:rsidRPr="00000000">
        <w:rPr>
          <w:rFonts w:ascii="Times New Roman" w:cs="Times New Roman" w:eastAsia="Times New Roman" w:hAnsi="Times New Roman"/>
          <w:i w:val="1"/>
          <w:color w:val="000000"/>
          <w:sz w:val="22"/>
          <w:szCs w:val="22"/>
          <w:rtl w:val="0"/>
        </w:rPr>
        <w:t xml:space="preserve">: </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ind w:right="-11" w:hanging="2"/>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Qualora la dichiarazione presenti delle irregolarità rilevabili d’ufficio, non costituenti falsità, oppure sia incompleta, il funzionario competente a ricevere la documentazione ne dà comunicazione all’interessato per la regolarizzazione o completamento. </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ind w:right="-11" w:hanging="2"/>
        <w:jc w:val="both"/>
        <w:rPr>
          <w:rFonts w:ascii="Times New Roman" w:cs="Times New Roman" w:eastAsia="Times New Roman" w:hAnsi="Times New Roman"/>
        </w:rPr>
      </w:pPr>
      <w:bookmarkStart w:colFirst="0" w:colLast="0" w:name="_heading=h.gjdgxs" w:id="1"/>
      <w:bookmarkEnd w:id="1"/>
      <w:r w:rsidDel="00000000" w:rsidR="00000000" w:rsidRPr="00000000">
        <w:rPr>
          <w:rFonts w:ascii="Times New Roman" w:cs="Times New Roman" w:eastAsia="Times New Roman" w:hAnsi="Times New Roman"/>
          <w:i w:val="1"/>
          <w:color w:val="000000"/>
          <w:sz w:val="18"/>
          <w:szCs w:val="18"/>
          <w:rtl w:val="0"/>
        </w:rPr>
        <w:t xml:space="preserve">Qualora invece, da un controllo successivo, emerga la non veridicità del contenuto della dichiarazione, il dichiarante decade dai benefici eventualmente conseguenti al provvedimento emanato sulla base della dichiarazione non veritiera (Art. 75 DPR n. 445/2000).  </w: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sectPr>
      <w:headerReference r:id="rId9" w:type="default"/>
      <w:headerReference r:id="rId10" w:type="first"/>
      <w:headerReference r:id="rId11" w:type="even"/>
      <w:footerReference r:id="rId12" w:type="default"/>
      <w:pgSz w:h="16840" w:w="11900" w:orient="portrait"/>
      <w:pgMar w:bottom="1134" w:top="2217" w:left="1134" w:right="1134" w:header="708" w:footer="1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Verdan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tabs>
        <w:tab w:val="center" w:leader="none" w:pos="4153"/>
        <w:tab w:val="right" w:leader="none" w:pos="8306"/>
        <w:tab w:val="right" w:leader="none" w:pos="9072"/>
      </w:tabs>
      <w:rPr>
        <w:color w:val="000000"/>
      </w:rPr>
    </w:pPr>
    <w:r w:rsidDel="00000000" w:rsidR="00000000" w:rsidRPr="00000000">
      <w:rPr>
        <w:rFonts w:ascii="Arial" w:cs="Arial" w:eastAsia="Arial" w:hAnsi="Arial"/>
        <w:sz w:val="16"/>
        <w:szCs w:val="16"/>
      </w:rPr>
      <w:drawing>
        <wp:inline distB="114300" distT="114300" distL="114300" distR="114300">
          <wp:extent cx="884873" cy="252821"/>
          <wp:effectExtent b="0" l="0" r="0" t="0"/>
          <wp:docPr id="106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84873" cy="252821"/>
                  </a:xfrm>
                  <a:prstGeom prst="rect"/>
                  <a:ln/>
                </pic:spPr>
              </pic:pic>
            </a:graphicData>
          </a:graphic>
        </wp:inline>
      </w:drawing>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rPr>
      <w:drawing>
        <wp:inline distB="114300" distT="114300" distL="114300" distR="114300">
          <wp:extent cx="545788" cy="336107"/>
          <wp:effectExtent b="0" l="0" r="0" t="0"/>
          <wp:docPr id="106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45788" cy="336107"/>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3" w:line="259" w:lineRule="auto"/>
        <w:ind w:hanging="2"/>
        <w:rPr>
          <w:rFonts w:ascii="Bookman Old Style" w:cs="Bookman Old Style" w:eastAsia="Bookman Old Style" w:hAnsi="Bookman Old Style"/>
          <w:color w:val="000000"/>
          <w:sz w:val="16"/>
          <w:szCs w:val="16"/>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color w:val="000000"/>
          <w:sz w:val="16"/>
          <w:szCs w:val="16"/>
          <w:rtl w:val="0"/>
        </w:rPr>
        <w:t xml:space="preserve"> Pubblicato nella G.U.U.E. 24 dicembre 2013, n. L 352. </w:t>
      </w:r>
    </w:p>
  </w:footnote>
  <w:footnote w:id="1">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83" w:lineRule="auto"/>
        <w:ind w:hanging="2"/>
        <w:jc w:val="both"/>
        <w:rPr>
          <w:rFonts w:ascii="Bookman Old Style" w:cs="Bookman Old Style" w:eastAsia="Bookman Old Style" w:hAnsi="Bookman Old Style"/>
          <w:color w:val="000000"/>
          <w:sz w:val="16"/>
          <w:szCs w:val="16"/>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color w:val="000000"/>
          <w:sz w:val="16"/>
          <w:szCs w:val="16"/>
          <w:rtl w:val="0"/>
        </w:rPr>
        <w:t xml:space="preserve"> Per “impresa unica” si intende l’impresa beneficiaria e le imprese, a monte e a valle, ad essa legate da uno dei rapporti di collegamento indicati all’art. 2, par. 2, del Reg. </w:t>
      </w:r>
      <w:r w:rsidDel="00000000" w:rsidR="00000000" w:rsidRPr="00000000">
        <w:rPr>
          <w:rFonts w:ascii="Bookman Old Style" w:cs="Bookman Old Style" w:eastAsia="Bookman Old Style" w:hAnsi="Bookman Old Style"/>
          <w:i w:val="1"/>
          <w:color w:val="000000"/>
          <w:sz w:val="16"/>
          <w:szCs w:val="16"/>
          <w:rtl w:val="0"/>
        </w:rPr>
        <w:t xml:space="preserve">de minimis</w:t>
      </w:r>
      <w:r w:rsidDel="00000000" w:rsidR="00000000" w:rsidRPr="00000000">
        <w:rPr>
          <w:rFonts w:ascii="Bookman Old Style" w:cs="Bookman Old Style" w:eastAsia="Bookman Old Style" w:hAnsi="Bookman Old Style"/>
          <w:color w:val="000000"/>
          <w:sz w:val="16"/>
          <w:szCs w:val="16"/>
          <w:rtl w:val="0"/>
        </w:rPr>
        <w:t xml:space="preserve"> 1407/2013.  </w:t>
      </w:r>
    </w:p>
  </w:footnote>
  <w:footnote w:id="2">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61" w:lineRule="auto"/>
        <w:ind w:right="2" w:hanging="2"/>
        <w:jc w:val="both"/>
        <w:rPr>
          <w:rFonts w:ascii="Bookman Old Style" w:cs="Bookman Old Style" w:eastAsia="Bookman Old Style" w:hAnsi="Bookman Old Style"/>
          <w:color w:val="000000"/>
          <w:sz w:val="16"/>
          <w:szCs w:val="16"/>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color w:val="000000"/>
          <w:sz w:val="16"/>
          <w:szCs w:val="16"/>
          <w:rtl w:val="0"/>
        </w:rPr>
        <w:t xml:space="preserve"> Il periodo di tre esercizi finanziari viene determinato facendo riferimento agli esercizi finanziari utilizzati dall’impresa ed è valutato su base mobile (tenendo conto dell’esercizio finanziario in questione e dei due esercizi finanziari precedenti), come previsto dall’art. 3, par. 5, e dal considerando 10 del Reg. </w:t>
      </w:r>
      <w:r w:rsidDel="00000000" w:rsidR="00000000" w:rsidRPr="00000000">
        <w:rPr>
          <w:rFonts w:ascii="Bookman Old Style" w:cs="Bookman Old Style" w:eastAsia="Bookman Old Style" w:hAnsi="Bookman Old Style"/>
          <w:i w:val="1"/>
          <w:color w:val="000000"/>
          <w:sz w:val="16"/>
          <w:szCs w:val="16"/>
          <w:rtl w:val="0"/>
        </w:rPr>
        <w:t xml:space="preserve">de minimis </w:t>
      </w:r>
      <w:r w:rsidDel="00000000" w:rsidR="00000000" w:rsidRPr="00000000">
        <w:rPr>
          <w:rFonts w:ascii="Bookman Old Style" w:cs="Bookman Old Style" w:eastAsia="Bookman Old Style" w:hAnsi="Bookman Old Style"/>
          <w:color w:val="000000"/>
          <w:sz w:val="16"/>
          <w:szCs w:val="16"/>
          <w:rtl w:val="0"/>
        </w:rPr>
        <w:t xml:space="preserve">1407/2013. </w:t>
      </w:r>
    </w:p>
  </w:footnote>
  <w:footnote w:id="3">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50" w:lineRule="auto"/>
        <w:ind w:right="2" w:hanging="2"/>
        <w:jc w:val="both"/>
        <w:rPr>
          <w:color w:val="000000"/>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color w:val="000000"/>
          <w:sz w:val="16"/>
          <w:szCs w:val="16"/>
          <w:rtl w:val="0"/>
        </w:rPr>
        <w:t xml:space="preserve"> Gli aiuti </w:t>
      </w:r>
      <w:r w:rsidDel="00000000" w:rsidR="00000000" w:rsidRPr="00000000">
        <w:rPr>
          <w:rFonts w:ascii="Bookman Old Style" w:cs="Bookman Old Style" w:eastAsia="Bookman Old Style" w:hAnsi="Bookman Old Style"/>
          <w:i w:val="1"/>
          <w:color w:val="000000"/>
          <w:sz w:val="16"/>
          <w:szCs w:val="16"/>
          <w:rtl w:val="0"/>
        </w:rPr>
        <w:t xml:space="preserve">de minimis</w:t>
      </w:r>
      <w:r w:rsidDel="00000000" w:rsidR="00000000" w:rsidRPr="00000000">
        <w:rPr>
          <w:rFonts w:ascii="Bookman Old Style" w:cs="Bookman Old Style" w:eastAsia="Bookman Old Style" w:hAnsi="Bookman Old Style"/>
          <w:color w:val="000000"/>
          <w:sz w:val="16"/>
          <w:szCs w:val="16"/>
          <w:rtl w:val="0"/>
        </w:rPr>
        <w:t xml:space="preserve"> non possono essere utilizzati per l’acquisto di veicoli destinati al trasporto di merci su strada. Se un’impresa che effettua trasporto di merci su strada per conto terzi esercita anche altre attività soggette al massimale di € 200.000,00, all’impresa si applica tale massimale purché sia dimostrabile che l’attività di trasporto merci su strada non tragga un vantaggio superiore a € 100.000,00.</w:t>
      </w:r>
      <w:r w:rsidDel="00000000" w:rsidR="00000000" w:rsidRPr="00000000">
        <w:rPr>
          <w:color w:val="000000"/>
          <w:sz w:val="20"/>
          <w:szCs w:val="20"/>
          <w:rtl w:val="0"/>
        </w:rPr>
        <w:t xml:space="preserve">  </w:t>
      </w:r>
    </w:p>
  </w:footnote>
  <w:footnote w:id="4">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59" w:lineRule="auto"/>
        <w:ind w:hanging="2"/>
        <w:jc w:val="both"/>
        <w:rPr>
          <w:rFonts w:ascii="Bookman Old Style" w:cs="Bookman Old Style" w:eastAsia="Bookman Old Style" w:hAnsi="Bookman Old Style"/>
          <w:color w:val="000000"/>
          <w:sz w:val="16"/>
          <w:szCs w:val="16"/>
        </w:rPr>
      </w:pPr>
      <w:r w:rsidDel="00000000" w:rsidR="00000000" w:rsidRPr="00000000">
        <w:rPr>
          <w:rStyle w:val="FootnoteReference"/>
          <w:vertAlign w:val="superscript"/>
        </w:rPr>
        <w:footnoteRef/>
      </w:r>
      <w:r w:rsidDel="00000000" w:rsidR="00000000" w:rsidRPr="00000000">
        <w:rPr>
          <w:vertAlign w:val="superscript"/>
          <w:rtl w:val="0"/>
        </w:rPr>
        <w:t xml:space="preserve"> </w:t>
      </w:r>
      <w:r w:rsidDel="00000000" w:rsidR="00000000" w:rsidRPr="00000000">
        <w:rPr>
          <w:rFonts w:ascii="Bookman Old Style" w:cs="Bookman Old Style" w:eastAsia="Bookman Old Style" w:hAnsi="Bookman Old Style"/>
          <w:color w:val="000000"/>
          <w:sz w:val="16"/>
          <w:szCs w:val="16"/>
          <w:rtl w:val="0"/>
        </w:rPr>
        <w:t xml:space="preserve">Tuttavia se un’impresa operante nel settore della pesca e dell’acquacoltura opera anche in uno o più settori o svolge anche altre attività che rientrano nel campo di applicazione del Reg. de minimis 1407/2013, quest’ultimo si applica agli aiuti concessi in relazione a tali ulteriori settori o attività purché sia dimostrabile che le attività di pesca e acquacoltura non beneficiano di aiuti de minimis concessi sulla base del Reg. 1407/2013.  </w:t>
      </w:r>
    </w:p>
  </w:footnote>
  <w:footnote w:id="5">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59" w:lineRule="auto"/>
        <w:ind w:hanging="2"/>
        <w:jc w:val="both"/>
        <w:rPr>
          <w:rFonts w:ascii="Bookman Old Style" w:cs="Bookman Old Style" w:eastAsia="Bookman Old Style" w:hAnsi="Bookman Old Style"/>
          <w:color w:val="000000"/>
          <w:sz w:val="16"/>
          <w:szCs w:val="16"/>
        </w:rPr>
      </w:pPr>
      <w:r w:rsidDel="00000000" w:rsidR="00000000" w:rsidRPr="00000000">
        <w:rPr>
          <w:rStyle w:val="FootnoteReference"/>
          <w:vertAlign w:val="superscript"/>
        </w:rPr>
        <w:footnoteRef/>
      </w:r>
      <w:r w:rsidDel="00000000" w:rsidR="00000000" w:rsidRPr="00000000">
        <w:rPr>
          <w:vertAlign w:val="superscript"/>
          <w:rtl w:val="0"/>
        </w:rPr>
        <w:t xml:space="preserve"> </w:t>
      </w:r>
      <w:r w:rsidDel="00000000" w:rsidR="00000000" w:rsidRPr="00000000">
        <w:rPr>
          <w:rFonts w:ascii="Bookman Old Style" w:cs="Bookman Old Style" w:eastAsia="Bookman Old Style" w:hAnsi="Bookman Old Style"/>
          <w:color w:val="000000"/>
          <w:sz w:val="16"/>
          <w:szCs w:val="16"/>
          <w:rtl w:val="0"/>
        </w:rPr>
        <w:t xml:space="preserve">Tuttavia se un’impresa operante nel settore della produzione primaria dei prodotti agricoli opera anche in uno o più settori o svolge anche altre attività che rientrano nel campo di applicazione del Reg. de minimis 1407/2013, quest’ultimo si applica agli aiuti concessi in relazione a tali ulteriori settori o attività purché sia dimostrabile che l’attività di produzione primaria di prodotti agricoli non beneficia di aiuti de minimis concessi sulla base del Reg. 1407/2013. </w:t>
      </w:r>
    </w:p>
  </w:footnote>
  <w:footnote w:id="6">
    <w:p w:rsidR="00000000" w:rsidDel="00000000" w:rsidP="00000000" w:rsidRDefault="00000000" w:rsidRPr="00000000" w14:paraId="00000074">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Bookman Old Style" w:cs="Bookman Old Style" w:eastAsia="Bookman Old Style" w:hAnsi="Bookman Old Style"/>
          <w:color w:val="000000"/>
          <w:sz w:val="16"/>
          <w:szCs w:val="16"/>
          <w:rtl w:val="0"/>
        </w:rPr>
        <w:t xml:space="preserve">Tuttavia se un’impresa operante nel settore della trasformazione e commercializzazione di prodotti agricoli nei casi esclusi indicati opera anche in uno o più settori o svolge anche altre attività che rientrano nel campo di applicazione del Reg. de minimis 1407/2013, quest’ultimo si applica agli aiuti concessi in relazione a tali ulteriori settori o attività purché sia dimostrabile che l’attività di trasformazione e commercializzazione di prodotti agricoli nei casi esclusi indicati non beneficia di aiuti de minimis concessi sulla base del Reg. 1407/2013.</w:t>
      </w:r>
      <w:r w:rsidDel="00000000" w:rsidR="00000000" w:rsidRPr="00000000">
        <w:rPr>
          <w:rtl w:val="0"/>
        </w:rPr>
      </w:r>
    </w:p>
  </w:footnote>
  <w:footnote w:id="7">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59" w:lineRule="auto"/>
        <w:jc w:val="both"/>
        <w:rPr>
          <w:rFonts w:ascii="Bookman Old Style" w:cs="Bookman Old Style" w:eastAsia="Bookman Old Style" w:hAnsi="Bookman Old Style"/>
          <w:color w:val="000000"/>
          <w:sz w:val="16"/>
          <w:szCs w:val="16"/>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8 </w:t>
      </w:r>
      <w:r w:rsidDel="00000000" w:rsidR="00000000" w:rsidRPr="00000000">
        <w:rPr>
          <w:rFonts w:ascii="Bookman Old Style" w:cs="Bookman Old Style" w:eastAsia="Bookman Old Style" w:hAnsi="Bookman Old Style"/>
          <w:color w:val="000000"/>
          <w:sz w:val="16"/>
          <w:szCs w:val="16"/>
          <w:rtl w:val="0"/>
        </w:rPr>
        <w:t xml:space="preserve">Sono “trasparenti” gli aiuti per i quali si può calcolare con precisione l’equivalente sovvenzione lordo ex ante senza che sia necessario effettuare una valutazione dei rischi (art. 4, Reg. 1407/2013). Nel caso specifico il metodo di calcolo dell’elemento di aiuto nelle garanzie a favore delle PMI è quello notificato dal Ministero dello Sviluppo Economico come aiuto n. 182/2010 e autorizzato con decisione n. 4505 del 6 luglio 2010.</w:t>
      </w:r>
      <w:r w:rsidDel="00000000" w:rsidR="00000000" w:rsidRPr="00000000">
        <w:rPr>
          <w:rFonts w:ascii="Bookman Old Style" w:cs="Bookman Old Style" w:eastAsia="Bookman Old Style" w:hAnsi="Bookman Old Style"/>
          <w:b w:val="1"/>
          <w:color w:val="000000"/>
          <w:sz w:val="16"/>
          <w:szCs w:val="16"/>
          <w:rtl w:val="0"/>
        </w:rPr>
        <w:t xml:space="preserve"> </w:t>
      </w:r>
      <w:r w:rsidDel="00000000" w:rsidR="00000000" w:rsidRPr="00000000">
        <w:rPr>
          <w:rtl w:val="0"/>
        </w:rPr>
      </w:r>
    </w:p>
  </w:footnote>
  <w:footnote w:id="8">
    <w:p w:rsidR="00000000" w:rsidDel="00000000" w:rsidP="00000000" w:rsidRDefault="00000000" w:rsidRPr="00000000" w14:paraId="00000076">
      <w:pPr>
        <w:pBdr>
          <w:top w:space="0" w:sz="0" w:val="nil"/>
          <w:left w:space="0" w:sz="0" w:val="nil"/>
          <w:bottom w:space="0" w:sz="0" w:val="nil"/>
          <w:right w:space="0" w:sz="0" w:val="nil"/>
          <w:between w:space="0" w:sz="0" w:val="nil"/>
        </w:pBdr>
        <w:ind w:hanging="2"/>
        <w:jc w:val="both"/>
        <w:rPr>
          <w:rFonts w:ascii="Verdana" w:cs="Verdana" w:eastAsia="Verdana" w:hAnsi="Verdana"/>
          <w:color w:val="000000"/>
          <w:sz w:val="16"/>
          <w:szCs w:val="16"/>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color w:val="000000"/>
          <w:sz w:val="16"/>
          <w:szCs w:val="16"/>
          <w:rtl w:val="0"/>
        </w:rPr>
        <w:t xml:space="preserve">Indicare il regolamento in base al quale è stato concesso l’aiuto “de minimis”: Reg. n. 1998/2006 (generale per il periodo 2007-2013); Reg. n. 1407/2013 (generale per il periodo 2014-2020);</w:t>
      </w:r>
      <w:r w:rsidDel="00000000" w:rsidR="00000000" w:rsidRPr="00000000">
        <w:rPr>
          <w:rtl w:val="0"/>
        </w:rPr>
      </w:r>
    </w:p>
  </w:footnote>
  <w:footnote w:id="9">
    <w:p w:rsidR="00000000" w:rsidDel="00000000" w:rsidP="00000000" w:rsidRDefault="00000000" w:rsidRPr="00000000" w14:paraId="00000077">
      <w:pPr>
        <w:pBdr>
          <w:top w:space="0" w:sz="0" w:val="nil"/>
          <w:left w:space="0" w:sz="0" w:val="nil"/>
          <w:bottom w:space="0" w:sz="0" w:val="nil"/>
          <w:right w:space="0" w:sz="0" w:val="nil"/>
          <w:between w:space="0" w:sz="0" w:val="nil"/>
        </w:pBdr>
        <w:ind w:hanging="2"/>
        <w:rPr>
          <w:rFonts w:ascii="Bookman Old Style" w:cs="Bookman Old Style" w:eastAsia="Bookman Old Style" w:hAnsi="Bookman Old Style"/>
          <w:color w:val="000000"/>
          <w:sz w:val="16"/>
          <w:szCs w:val="16"/>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color w:val="000000"/>
          <w:sz w:val="16"/>
          <w:szCs w:val="16"/>
          <w:rtl w:val="0"/>
        </w:rPr>
        <w:t xml:space="preserve">Per inserire il codice Ateco dell’attività svolta, consultare il sito: </w:t>
      </w:r>
      <w:hyperlink r:id="rId1">
        <w:r w:rsidDel="00000000" w:rsidR="00000000" w:rsidRPr="00000000">
          <w:rPr>
            <w:rFonts w:ascii="Bookman Old Style" w:cs="Bookman Old Style" w:eastAsia="Bookman Old Style" w:hAnsi="Bookman Old Style"/>
            <w:color w:val="0000ff"/>
            <w:sz w:val="16"/>
            <w:szCs w:val="16"/>
            <w:u w:val="single"/>
            <w:rtl w:val="0"/>
          </w:rPr>
          <w:t xml:space="preserve">http://www.istat.it/strumenti/definizioni/ateco/ateco2007.html</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hanging="2"/>
        <w:rPr>
          <w:color w:val="000000"/>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pBdr>
        <w:top w:space="0" w:sz="0" w:val="nil"/>
        <w:left w:space="0" w:sz="0" w:val="nil"/>
        <w:bottom w:space="0" w:sz="0" w:val="nil"/>
        <w:right w:space="0" w:sz="0" w:val="nil"/>
        <w:between w:space="0" w:sz="0" w:val="nil"/>
      </w:pBdr>
      <w:ind w:right="-384"/>
      <w:jc w:val="center"/>
      <w:rPr>
        <w:rFonts w:ascii="Times New Roman" w:cs="Times New Roman" w:eastAsia="Times New Roman" w:hAnsi="Times New Roman"/>
        <w:i w:val="1"/>
        <w:color w:val="000000"/>
        <w:sz w:val="16"/>
        <w:szCs w:val="16"/>
      </w:rPr>
    </w:pPr>
    <w:r w:rsidDel="00000000" w:rsidR="00000000" w:rsidRPr="00000000">
      <w:rPr>
        <w:rFonts w:ascii="Arial Narrow" w:cs="Arial Narrow" w:eastAsia="Arial Narrow" w:hAnsi="Arial Narrow"/>
        <w:i w:val="1"/>
        <w:sz w:val="16"/>
        <w:szCs w:val="16"/>
      </w:rPr>
      <w:drawing>
        <wp:inline distB="114300" distT="114300" distL="114300" distR="114300">
          <wp:extent cx="2408400" cy="752475"/>
          <wp:effectExtent b="0" l="0" r="0" t="0"/>
          <wp:docPr id="1070" name="image3.png"/>
          <a:graphic>
            <a:graphicData uri="http://schemas.openxmlformats.org/drawingml/2006/picture">
              <pic:pic>
                <pic:nvPicPr>
                  <pic:cNvPr id="0" name="image3.png"/>
                  <pic:cNvPicPr preferRelativeResize="0"/>
                </pic:nvPicPr>
                <pic:blipFill>
                  <a:blip r:embed="rId1"/>
                  <a:srcRect b="0" l="41197" r="0" t="0"/>
                  <a:stretch>
                    <a:fillRect/>
                  </a:stretch>
                </pic:blipFill>
                <pic:spPr>
                  <a:xfrm>
                    <a:off x="0" y="0"/>
                    <a:ext cx="2408400" cy="752475"/>
                  </a:xfrm>
                  <a:prstGeom prst="rect"/>
                  <a:ln/>
                </pic:spPr>
              </pic:pic>
            </a:graphicData>
          </a:graphic>
        </wp:inline>
      </w:drawing>
    </w:r>
    <w:r w:rsidDel="00000000" w:rsidR="00000000" w:rsidRPr="00000000">
      <w:rPr>
        <w:rFonts w:ascii="Arial Narrow" w:cs="Arial Narrow" w:eastAsia="Arial Narrow" w:hAnsi="Arial Narrow"/>
        <w:i w:val="1"/>
        <w:sz w:val="16"/>
        <w:szCs w:val="16"/>
      </w:rPr>
      <w:drawing>
        <wp:inline distB="114300" distT="114300" distL="114300" distR="114300">
          <wp:extent cx="1120612" cy="785311"/>
          <wp:effectExtent b="0" l="0" r="0" t="0"/>
          <wp:docPr id="1069"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1120612" cy="78531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569200" cy="10693400"/>
          <wp:effectExtent b="0" l="0" r="0" t="0"/>
          <wp:wrapNone/>
          <wp:docPr id="107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9200" cy="1069340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569200" cy="10693400"/>
          <wp:effectExtent b="0" l="0" r="0" t="0"/>
          <wp:wrapNone/>
          <wp:docPr id="106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9200" cy="106934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0" w:hanging="710"/>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bullet"/>
      <w:lvlText w:val="•"/>
      <w:lvlJc w:val="left"/>
      <w:pPr>
        <w:ind w:left="1078" w:hanging="1078"/>
      </w:pPr>
      <w:rPr>
        <w:rFonts w:ascii="Arial" w:cs="Arial" w:eastAsia="Arial" w:hAnsi="Arial"/>
        <w:b w:val="0"/>
        <w:i w:val="0"/>
        <w:strike w:val="0"/>
        <w:color w:val="000000"/>
        <w:sz w:val="20"/>
        <w:szCs w:val="20"/>
        <w:u w:val="none"/>
        <w:shd w:fill="auto" w:val="clear"/>
        <w:vertAlign w:val="baseline"/>
      </w:rPr>
    </w:lvl>
    <w:lvl w:ilvl="2">
      <w:start w:val="1"/>
      <w:numFmt w:val="bullet"/>
      <w:lvlText w:val="▪"/>
      <w:lvlJc w:val="left"/>
      <w:pPr>
        <w:ind w:left="1798" w:hanging="1798"/>
      </w:pPr>
      <w:rPr>
        <w:rFonts w:ascii="Quattrocento Sans" w:cs="Quattrocento Sans" w:eastAsia="Quattrocento Sans" w:hAnsi="Quattrocento Sans"/>
        <w:b w:val="0"/>
        <w:i w:val="0"/>
        <w:strike w:val="0"/>
        <w:color w:val="000000"/>
        <w:sz w:val="20"/>
        <w:szCs w:val="20"/>
        <w:u w:val="none"/>
        <w:shd w:fill="auto" w:val="clear"/>
        <w:vertAlign w:val="baseline"/>
      </w:rPr>
    </w:lvl>
    <w:lvl w:ilvl="3">
      <w:start w:val="1"/>
      <w:numFmt w:val="bullet"/>
      <w:lvlText w:val="•"/>
      <w:lvlJc w:val="left"/>
      <w:pPr>
        <w:ind w:left="2518" w:hanging="2518"/>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3238" w:hanging="3238"/>
      </w:pPr>
      <w:rPr>
        <w:rFonts w:ascii="Quattrocento Sans" w:cs="Quattrocento Sans" w:eastAsia="Quattrocento Sans" w:hAnsi="Quattrocento Sans"/>
        <w:b w:val="0"/>
        <w:i w:val="0"/>
        <w:strike w:val="0"/>
        <w:color w:val="000000"/>
        <w:sz w:val="20"/>
        <w:szCs w:val="20"/>
        <w:u w:val="none"/>
        <w:shd w:fill="auto" w:val="clear"/>
        <w:vertAlign w:val="baseline"/>
      </w:rPr>
    </w:lvl>
    <w:lvl w:ilvl="5">
      <w:start w:val="1"/>
      <w:numFmt w:val="bullet"/>
      <w:lvlText w:val="▪"/>
      <w:lvlJc w:val="left"/>
      <w:pPr>
        <w:ind w:left="3958" w:hanging="3958"/>
      </w:pPr>
      <w:rPr>
        <w:rFonts w:ascii="Quattrocento Sans" w:cs="Quattrocento Sans" w:eastAsia="Quattrocento Sans" w:hAnsi="Quattrocento Sans"/>
        <w:b w:val="0"/>
        <w:i w:val="0"/>
        <w:strike w:val="0"/>
        <w:color w:val="000000"/>
        <w:sz w:val="20"/>
        <w:szCs w:val="20"/>
        <w:u w:val="none"/>
        <w:shd w:fill="auto" w:val="clear"/>
        <w:vertAlign w:val="baseline"/>
      </w:rPr>
    </w:lvl>
    <w:lvl w:ilvl="6">
      <w:start w:val="1"/>
      <w:numFmt w:val="bullet"/>
      <w:lvlText w:val="•"/>
      <w:lvlJc w:val="left"/>
      <w:pPr>
        <w:ind w:left="4678" w:hanging="4678"/>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5398" w:hanging="5398"/>
      </w:pPr>
      <w:rPr>
        <w:rFonts w:ascii="Quattrocento Sans" w:cs="Quattrocento Sans" w:eastAsia="Quattrocento Sans" w:hAnsi="Quattrocento Sans"/>
        <w:b w:val="0"/>
        <w:i w:val="0"/>
        <w:strike w:val="0"/>
        <w:color w:val="000000"/>
        <w:sz w:val="20"/>
        <w:szCs w:val="20"/>
        <w:u w:val="none"/>
        <w:shd w:fill="auto" w:val="clear"/>
        <w:vertAlign w:val="baseline"/>
      </w:rPr>
    </w:lvl>
    <w:lvl w:ilvl="8">
      <w:start w:val="1"/>
      <w:numFmt w:val="bullet"/>
      <w:lvlText w:val="▪"/>
      <w:lvlJc w:val="left"/>
      <w:pPr>
        <w:ind w:left="6118" w:hanging="6118"/>
      </w:pPr>
      <w:rPr>
        <w:rFonts w:ascii="Quattrocento Sans" w:cs="Quattrocento Sans" w:eastAsia="Quattrocento Sans" w:hAnsi="Quattrocento Sans"/>
        <w:b w:val="0"/>
        <w:i w:val="0"/>
        <w:strike w:val="0"/>
        <w:color w:val="000000"/>
        <w:sz w:val="20"/>
        <w:szCs w:val="20"/>
        <w:u w:val="none"/>
        <w:shd w:fill="auto" w:val="clear"/>
        <w:vertAlign w:val="baseline"/>
      </w:rPr>
    </w:lvl>
  </w:abstractNum>
  <w:abstractNum w:abstractNumId="2">
    <w:lvl w:ilvl="0">
      <w:start w:val="2000"/>
      <w:numFmt w:val="bullet"/>
      <w:lvlText w:val="-"/>
      <w:lvlJc w:val="left"/>
      <w:pPr>
        <w:ind w:left="360" w:hanging="360"/>
      </w:pPr>
      <w:rPr>
        <w:vertAlign w:val="baseline"/>
      </w:rPr>
    </w:lvl>
    <w:lvl w:ilvl="1">
      <w:start w:val="1"/>
      <w:numFmt w:val="lowerRoman"/>
      <w:lvlText w:val="%2)"/>
      <w:lvlJc w:val="left"/>
      <w:pPr>
        <w:ind w:left="1440" w:hanging="720"/>
      </w:pPr>
      <w:rPr>
        <w:b w:val="0"/>
        <w:i w:val="1"/>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paragraph" w:styleId="Pidipagina">
    <w:name w:val="footer"/>
    <w:basedOn w:val="Normale"/>
    <w:link w:val="PidipaginaCarattere"/>
    <w:uiPriority w:val="99"/>
    <w:unhideWhenUsed w:val="1"/>
    <w:rsid w:val="00EC2B0E"/>
    <w:pPr>
      <w:tabs>
        <w:tab w:val="center" w:pos="4819"/>
        <w:tab w:val="right" w:pos="9638"/>
      </w:tabs>
    </w:pPr>
  </w:style>
  <w:style w:type="character" w:styleId="PidipaginaCarattere" w:customStyle="1">
    <w:name w:val="Piè di pagina Carattere"/>
    <w:basedOn w:val="Carpredefinitoparagrafo"/>
    <w:link w:val="Pidipagina"/>
    <w:uiPriority w:val="99"/>
    <w:rsid w:val="00EC2B0E"/>
  </w:style>
  <w:style w:type="paragraph" w:styleId="NormaleWeb">
    <w:name w:val="Normal (Web)"/>
    <w:basedOn w:val="Normale"/>
    <w:uiPriority w:val="99"/>
    <w:unhideWhenUsed w:val="1"/>
    <w:rsid w:val="00EC2B0E"/>
    <w:pPr>
      <w:spacing w:after="100" w:afterAutospacing="1" w:before="100" w:beforeAutospacing="1"/>
    </w:pPr>
    <w:rPr>
      <w:rFonts w:ascii="Times New Roman" w:cs="Times New Roman" w:eastAsia="Times New Roman" w:hAnsi="Times New Roman"/>
    </w:rPr>
  </w:style>
  <w:style w:type="character" w:styleId="apple-tab-span" w:customStyle="1">
    <w:name w:val="apple-tab-span"/>
    <w:basedOn w:val="Carpredefinitoparagrafo"/>
    <w:rsid w:val="00EC2B0E"/>
  </w:style>
  <w:style w:type="character" w:styleId="Collegamentoipertestuale">
    <w:name w:val="Hyperlink"/>
    <w:basedOn w:val="Carpredefinitoparagrafo"/>
    <w:uiPriority w:val="99"/>
    <w:unhideWhenUsed w:val="1"/>
    <w:rsid w:val="00596EFD"/>
    <w:rPr>
      <w:color w:val="0000ff" w:themeColor="hyperlink"/>
      <w:u w:val="single"/>
    </w:rPr>
  </w:style>
  <w:style w:type="character" w:styleId="Menzionenonrisolta1" w:customStyle="1">
    <w:name w:val="Menzione non risolta1"/>
    <w:basedOn w:val="Carpredefinitoparagrafo"/>
    <w:uiPriority w:val="99"/>
    <w:semiHidden w:val="1"/>
    <w:unhideWhenUsed w:val="1"/>
    <w:rsid w:val="00596EFD"/>
    <w:rPr>
      <w:color w:val="605e5c"/>
      <w:shd w:color="auto" w:fill="e1dfdd" w:val="clear"/>
    </w:rPr>
  </w:style>
  <w:style w:type="character" w:styleId="Rimandocommento">
    <w:name w:val="annotation reference"/>
    <w:basedOn w:val="Carpredefinitoparagrafo"/>
    <w:uiPriority w:val="99"/>
    <w:semiHidden w:val="1"/>
    <w:unhideWhenUsed w:val="1"/>
    <w:rsid w:val="00596EFD"/>
    <w:rPr>
      <w:sz w:val="16"/>
      <w:szCs w:val="16"/>
    </w:rPr>
  </w:style>
  <w:style w:type="paragraph" w:styleId="Testocommento">
    <w:name w:val="annotation text"/>
    <w:basedOn w:val="Normale"/>
    <w:link w:val="TestocommentoCarattere"/>
    <w:uiPriority w:val="99"/>
    <w:semiHidden w:val="1"/>
    <w:unhideWhenUsed w:val="1"/>
    <w:rsid w:val="00596EFD"/>
    <w:rPr>
      <w:sz w:val="20"/>
      <w:szCs w:val="20"/>
    </w:rPr>
  </w:style>
  <w:style w:type="character" w:styleId="TestocommentoCarattere" w:customStyle="1">
    <w:name w:val="Testo commento Carattere"/>
    <w:basedOn w:val="Carpredefinitoparagrafo"/>
    <w:link w:val="Testocommento"/>
    <w:uiPriority w:val="99"/>
    <w:semiHidden w:val="1"/>
    <w:rsid w:val="00596EFD"/>
    <w:rPr>
      <w:sz w:val="20"/>
      <w:szCs w:val="20"/>
    </w:rPr>
  </w:style>
  <w:style w:type="paragraph" w:styleId="Soggettocommento">
    <w:name w:val="annotation subject"/>
    <w:basedOn w:val="Testocommento"/>
    <w:next w:val="Testocommento"/>
    <w:link w:val="SoggettocommentoCarattere"/>
    <w:uiPriority w:val="99"/>
    <w:semiHidden w:val="1"/>
    <w:unhideWhenUsed w:val="1"/>
    <w:rsid w:val="00596EFD"/>
    <w:rPr>
      <w:b w:val="1"/>
      <w:bCs w:val="1"/>
    </w:rPr>
  </w:style>
  <w:style w:type="character" w:styleId="SoggettocommentoCarattere" w:customStyle="1">
    <w:name w:val="Soggetto commento Carattere"/>
    <w:basedOn w:val="TestocommentoCarattere"/>
    <w:link w:val="Soggettocommento"/>
    <w:uiPriority w:val="99"/>
    <w:semiHidden w:val="1"/>
    <w:rsid w:val="00596EFD"/>
    <w:rPr>
      <w:b w:val="1"/>
      <w:bCs w:val="1"/>
      <w:sz w:val="20"/>
      <w:szCs w:val="20"/>
    </w:rPr>
  </w:style>
  <w:style w:type="paragraph" w:styleId="Testofumetto">
    <w:name w:val="Balloon Text"/>
    <w:basedOn w:val="Normale"/>
    <w:link w:val="TestofumettoCarattere"/>
    <w:uiPriority w:val="99"/>
    <w:semiHidden w:val="1"/>
    <w:unhideWhenUsed w:val="1"/>
    <w:rsid w:val="00596EFD"/>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596EFD"/>
    <w:rPr>
      <w:rFonts w:ascii="Segoe UI" w:cs="Segoe UI" w:hAnsi="Segoe UI"/>
      <w:sz w:val="18"/>
      <w:szCs w:val="18"/>
    </w:rPr>
  </w:style>
  <w:style w:type="character" w:styleId="Enfasigrassetto">
    <w:name w:val="Strong"/>
    <w:basedOn w:val="Carpredefinitoparagrafo"/>
    <w:uiPriority w:val="22"/>
    <w:qFormat w:val="1"/>
    <w:rsid w:val="003C6C66"/>
    <w:rPr>
      <w:b w:val="1"/>
      <w:bCs w:val="1"/>
    </w:rPr>
  </w:style>
  <w:style w:type="paragraph" w:styleId="Paragrafoelenco">
    <w:name w:val="List Paragraph"/>
    <w:basedOn w:val="Normale"/>
    <w:uiPriority w:val="34"/>
    <w:qFormat w:val="1"/>
    <w:rsid w:val="00990AC9"/>
    <w:pPr>
      <w:ind w:left="720"/>
      <w:contextualSpacing w:val="1"/>
    </w:p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paragraph" w:styleId="Testonotaapidipagina">
    <w:name w:val="footnote text"/>
    <w:basedOn w:val="Normale"/>
    <w:link w:val="TestonotaapidipaginaCarattere"/>
    <w:uiPriority w:val="99"/>
    <w:semiHidden w:val="1"/>
    <w:unhideWhenUsed w:val="1"/>
    <w:rsid w:val="00CB72FD"/>
    <w:rPr>
      <w:sz w:val="20"/>
      <w:szCs w:val="20"/>
    </w:rPr>
  </w:style>
  <w:style w:type="character" w:styleId="TestonotaapidipaginaCarattere" w:customStyle="1">
    <w:name w:val="Testo nota a piè di pagina Carattere"/>
    <w:basedOn w:val="Carpredefinitoparagrafo"/>
    <w:link w:val="Testonotaapidipagina"/>
    <w:uiPriority w:val="99"/>
    <w:semiHidden w:val="1"/>
    <w:rsid w:val="00CB72FD"/>
    <w:rPr>
      <w:sz w:val="20"/>
      <w:szCs w:val="20"/>
    </w:rPr>
  </w:style>
  <w:style w:type="character" w:styleId="Rimandonotaapidipagina">
    <w:name w:val="footnote reference"/>
    <w:basedOn w:val="Carpredefinitoparagrafo"/>
    <w:uiPriority w:val="99"/>
    <w:semiHidden w:val="1"/>
    <w:unhideWhenUsed w:val="1"/>
    <w:rsid w:val="00CB72FD"/>
    <w:rPr>
      <w:vertAlign w:val="superscript"/>
    </w:rPr>
  </w:style>
  <w:style w:type="table" w:styleId="a1" w:customStyle="1">
    <w:basedOn w:val="TableNormal0"/>
    <w:tblPr>
      <w:tblStyleRowBandSize w:val="1"/>
      <w:tblStyleColBandSize w:val="1"/>
      <w:tblCellMar>
        <w:left w:w="115.0" w:type="dxa"/>
        <w:right w:w="115.0" w:type="dxa"/>
      </w:tblCellMar>
    </w:tblPr>
  </w:style>
  <w:style w:type="character" w:styleId="Menzionenonrisolta">
    <w:name w:val="Unresolved Mention"/>
    <w:basedOn w:val="Carpredefinitoparagrafo"/>
    <w:uiPriority w:val="99"/>
    <w:semiHidden w:val="1"/>
    <w:unhideWhenUsed w:val="1"/>
    <w:rsid w:val="007C555B"/>
    <w:rPr>
      <w:color w:val="605e5c"/>
      <w:shd w:color="auto" w:fill="e1dfdd" w:val="clear"/>
    </w:rPr>
  </w:style>
  <w:style w:type="character" w:styleId="Collegamentovisitato">
    <w:name w:val="FollowedHyperlink"/>
    <w:basedOn w:val="Carpredefinitoparagrafo"/>
    <w:uiPriority w:val="99"/>
    <w:semiHidden w:val="1"/>
    <w:unhideWhenUsed w:val="1"/>
    <w:rsid w:val="007C555B"/>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2.xml"/><Relationship Id="rId10" Type="http://schemas.openxmlformats.org/officeDocument/2006/relationships/header" Target="header3.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tonite.eu/le-azion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istat.it/strumenti/definizioni/ateco/ateco2007.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hZuybz+2LOrKUdoYy2BFHk0g==">CgMxLjAyCWguMWZvYjl0ZTIIaC5namRneHM4AHIhMUd1TExqQVp0c0JOY29GZWE3b2dxaW9rVDdWNEo1NmIx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2023-03-02T13:47:00Z</dcterms:created>
  <dc:creator>ELENA DEAMBROGIO</dc:creator>
</cp:coreProperties>
</file>